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38B8" w14:textId="04E981B2" w:rsidR="00CA1256" w:rsidRPr="00FD00FD" w:rsidRDefault="00721BA2" w:rsidP="00CA1256">
      <w:pPr>
        <w:widowControl w:val="0"/>
        <w:spacing w:after="120" w:line="285" w:lineRule="auto"/>
        <w:rPr>
          <w:rFonts w:ascii="Calibri" w:eastAsia="Times New Roman" w:hAnsi="Calibri" w:cs="Calibri"/>
          <w:color w:val="008000"/>
          <w:kern w:val="28"/>
          <w:sz w:val="36"/>
          <w:szCs w:val="36"/>
          <w:lang w:eastAsia="en-GB"/>
          <w14:cntxtAlts/>
        </w:rPr>
      </w:pPr>
      <w:bookmarkStart w:id="0" w:name="_GoBack"/>
      <w:bookmarkEnd w:id="0"/>
      <w:r w:rsidRPr="00FD00FD">
        <w:rPr>
          <w:rFonts w:ascii="Calibri" w:eastAsia="Times New Roman" w:hAnsi="Calibri" w:cs="Calibri"/>
          <w:color w:val="008000"/>
          <w:kern w:val="28"/>
          <w:sz w:val="36"/>
          <w:szCs w:val="36"/>
          <w:lang w:eastAsia="en-GB"/>
          <w14:cntxtAlts/>
        </w:rPr>
        <w:t xml:space="preserve">Locum </w:t>
      </w:r>
      <w:r w:rsidR="007767FA" w:rsidRPr="00FD00FD">
        <w:rPr>
          <w:rFonts w:ascii="Calibri" w:eastAsia="Times New Roman" w:hAnsi="Calibri" w:cs="Calibri"/>
          <w:color w:val="008000"/>
          <w:kern w:val="28"/>
          <w:sz w:val="36"/>
          <w:szCs w:val="36"/>
          <w:lang w:eastAsia="en-GB"/>
          <w14:cntxtAlts/>
        </w:rPr>
        <w:t>checklist for</w:t>
      </w:r>
      <w:r w:rsidRPr="00FD00FD">
        <w:rPr>
          <w:rFonts w:ascii="Calibri" w:eastAsia="Times New Roman" w:hAnsi="Calibri" w:cs="Calibri"/>
          <w:color w:val="008000"/>
          <w:kern w:val="28"/>
          <w:sz w:val="36"/>
          <w:szCs w:val="36"/>
          <w:lang w:eastAsia="en-GB"/>
          <w14:cntxtAlts/>
        </w:rPr>
        <w:t xml:space="preserve"> CPCS</w:t>
      </w:r>
    </w:p>
    <w:p w14:paraId="564FE5C8" w14:textId="30309B37" w:rsidR="00CA1256" w:rsidRPr="00FD00FD" w:rsidRDefault="00CA1256" w:rsidP="00CA1256">
      <w:pPr>
        <w:rPr>
          <w:sz w:val="20"/>
          <w:szCs w:val="20"/>
        </w:rPr>
      </w:pPr>
      <w:r w:rsidRPr="00FD00FD">
        <w:rPr>
          <w:sz w:val="20"/>
          <w:szCs w:val="20"/>
        </w:rPr>
        <w:t xml:space="preserve">It is vital that the new Community Pharmacist Consultation Service (CPCS) is provided throughout the pharmacies opening hours. This document provides a guide for locum pharmacists unfamiliar with the pharmacy’s ways of working. Keep this sheet with any other local service documentation, including Declarations of Competence </w:t>
      </w:r>
      <w:r w:rsidR="00A43093">
        <w:rPr>
          <w:sz w:val="20"/>
          <w:szCs w:val="20"/>
        </w:rPr>
        <w:t>(</w:t>
      </w:r>
      <w:proofErr w:type="spellStart"/>
      <w:r w:rsidR="00A43093">
        <w:rPr>
          <w:sz w:val="20"/>
          <w:szCs w:val="20"/>
        </w:rPr>
        <w:t>DoCs</w:t>
      </w:r>
      <w:proofErr w:type="spellEnd"/>
      <w:r w:rsidR="00A43093">
        <w:rPr>
          <w:sz w:val="20"/>
          <w:szCs w:val="20"/>
        </w:rPr>
        <w:t xml:space="preserve">) </w:t>
      </w:r>
      <w:r w:rsidRPr="00FD00FD">
        <w:rPr>
          <w:sz w:val="20"/>
          <w:szCs w:val="20"/>
        </w:rPr>
        <w:t>or PGDs.</w:t>
      </w:r>
    </w:p>
    <w:p w14:paraId="1D0EFD3B" w14:textId="3794A62D" w:rsidR="00CA1256" w:rsidRPr="00FD00FD" w:rsidRDefault="00CA1256" w:rsidP="00E157CB">
      <w:pPr>
        <w:widowControl w:val="0"/>
        <w:spacing w:after="0" w:line="285" w:lineRule="auto"/>
        <w:rPr>
          <w:rFonts w:ascii="Calibri" w:eastAsia="Times New Roman" w:hAnsi="Calibri" w:cs="Calibri"/>
          <w:color w:val="008000"/>
          <w:kern w:val="28"/>
          <w:sz w:val="28"/>
          <w:szCs w:val="28"/>
          <w:lang w:eastAsia="en-GB"/>
          <w14:cntxtAlts/>
        </w:rPr>
      </w:pPr>
      <w:r w:rsidRPr="00FD00FD">
        <w:rPr>
          <w:rFonts w:ascii="Calibri" w:eastAsia="Times New Roman" w:hAnsi="Calibri" w:cs="Calibri"/>
          <w:color w:val="008000"/>
          <w:kern w:val="28"/>
          <w:sz w:val="28"/>
          <w:szCs w:val="28"/>
          <w:lang w:eastAsia="en-GB"/>
          <w14:cntxtAlts/>
        </w:rPr>
        <w:t>Accessing CPCS</w:t>
      </w:r>
    </w:p>
    <w:p w14:paraId="7F8D7C66" w14:textId="53BF48C6" w:rsidR="00FD00FD" w:rsidRPr="00FD00FD" w:rsidRDefault="00CA1256" w:rsidP="00FD00FD">
      <w:pPr>
        <w:rPr>
          <w:sz w:val="20"/>
          <w:szCs w:val="20"/>
        </w:rPr>
      </w:pPr>
      <w:r w:rsidRPr="00FD00FD">
        <w:rPr>
          <w:sz w:val="20"/>
          <w:szCs w:val="20"/>
        </w:rPr>
        <w:t>As with local services</w:t>
      </w:r>
      <w:r w:rsidR="00A43093">
        <w:rPr>
          <w:sz w:val="20"/>
          <w:szCs w:val="20"/>
        </w:rPr>
        <w:t>,</w:t>
      </w:r>
      <w:r w:rsidRPr="00FD00FD">
        <w:rPr>
          <w:sz w:val="20"/>
          <w:szCs w:val="20"/>
        </w:rPr>
        <w:t xml:space="preserve"> all CPCS referrals are received through </w:t>
      </w:r>
      <w:proofErr w:type="spellStart"/>
      <w:r w:rsidRPr="00FD00FD">
        <w:rPr>
          <w:sz w:val="20"/>
          <w:szCs w:val="20"/>
        </w:rPr>
        <w:t>PharmOutcomes</w:t>
      </w:r>
      <w:proofErr w:type="spellEnd"/>
      <w:r w:rsidRPr="00FD00FD">
        <w:rPr>
          <w:sz w:val="20"/>
          <w:szCs w:val="20"/>
        </w:rPr>
        <w:t xml:space="preserve">. They are recorded (ideally during the consultation) on </w:t>
      </w:r>
      <w:proofErr w:type="spellStart"/>
      <w:r w:rsidRPr="00FD00FD">
        <w:rPr>
          <w:sz w:val="20"/>
          <w:szCs w:val="20"/>
        </w:rPr>
        <w:t>PharmOutcomes</w:t>
      </w:r>
      <w:proofErr w:type="spellEnd"/>
      <w:r w:rsidRPr="00FD00FD">
        <w:rPr>
          <w:sz w:val="20"/>
          <w:szCs w:val="20"/>
        </w:rPr>
        <w:t xml:space="preserve"> to ensure all data is captured. </w:t>
      </w:r>
      <w:r w:rsidR="00FD00FD" w:rsidRPr="00A43093">
        <w:rPr>
          <w:b/>
          <w:bCs/>
          <w:sz w:val="20"/>
          <w:szCs w:val="20"/>
          <w:u w:val="single"/>
        </w:rPr>
        <w:t>Consultations must occur in the consultation room.</w:t>
      </w:r>
    </w:p>
    <w:tbl>
      <w:tblPr>
        <w:tblStyle w:val="GridTable4-Accent1"/>
        <w:tblW w:w="0" w:type="auto"/>
        <w:tblLook w:val="04A0" w:firstRow="1" w:lastRow="0" w:firstColumn="1" w:lastColumn="0" w:noHBand="0" w:noVBand="1"/>
      </w:tblPr>
      <w:tblGrid>
        <w:gridCol w:w="3369"/>
        <w:gridCol w:w="5873"/>
      </w:tblGrid>
      <w:tr w:rsidR="00FD00FD" w14:paraId="1A10D6F6" w14:textId="77777777" w:rsidTr="00FD0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4F961D4" w14:textId="77777777" w:rsidR="00FD00FD" w:rsidRDefault="00FD00FD" w:rsidP="00FD00FD"/>
        </w:tc>
        <w:tc>
          <w:tcPr>
            <w:tcW w:w="5873" w:type="dxa"/>
          </w:tcPr>
          <w:p w14:paraId="0E2AC694" w14:textId="77777777" w:rsidR="00FD00FD" w:rsidRDefault="00FD00FD" w:rsidP="00FD00FD">
            <w:pPr>
              <w:cnfStyle w:val="100000000000" w:firstRow="1" w:lastRow="0" w:firstColumn="0" w:lastColumn="0" w:oddVBand="0" w:evenVBand="0" w:oddHBand="0" w:evenHBand="0" w:firstRowFirstColumn="0" w:firstRowLastColumn="0" w:lastRowFirstColumn="0" w:lastRowLastColumn="0"/>
            </w:pPr>
          </w:p>
        </w:tc>
      </w:tr>
      <w:tr w:rsidR="00FD00FD" w14:paraId="2CE61953" w14:textId="77777777" w:rsidTr="00FD0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31361E1" w14:textId="6C57ABD1" w:rsidR="00FD00FD" w:rsidRDefault="00FD00FD" w:rsidP="00FD00FD">
            <w:r>
              <w:t>The SOP for CPCS can be found</w:t>
            </w:r>
            <w:r w:rsidR="00A43093">
              <w:t>:</w:t>
            </w:r>
          </w:p>
        </w:tc>
        <w:tc>
          <w:tcPr>
            <w:tcW w:w="5873" w:type="dxa"/>
          </w:tcPr>
          <w:p w14:paraId="699EA54A" w14:textId="77777777" w:rsidR="00FD00FD" w:rsidRDefault="00FD00FD" w:rsidP="00FD00FD">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r w:rsidRPr="00187A9C">
              <w:rPr>
                <w:i/>
                <w:iCs/>
                <w:color w:val="A6A6A6" w:themeColor="background1" w:themeShade="A6"/>
              </w:rPr>
              <w:t>The SOP is stored where?</w:t>
            </w:r>
          </w:p>
          <w:p w14:paraId="0637FCB3" w14:textId="77777777" w:rsidR="00FD00FD" w:rsidRPr="00187A9C" w:rsidRDefault="00FD00FD" w:rsidP="00FD00FD">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p>
        </w:tc>
      </w:tr>
      <w:tr w:rsidR="00FD00FD" w14:paraId="74FC7ADC" w14:textId="77777777" w:rsidTr="00FD00FD">
        <w:tc>
          <w:tcPr>
            <w:cnfStyle w:val="001000000000" w:firstRow="0" w:lastRow="0" w:firstColumn="1" w:lastColumn="0" w:oddVBand="0" w:evenVBand="0" w:oddHBand="0" w:evenHBand="0" w:firstRowFirstColumn="0" w:firstRowLastColumn="0" w:lastRowFirstColumn="0" w:lastRowLastColumn="0"/>
            <w:tcW w:w="3369" w:type="dxa"/>
          </w:tcPr>
          <w:p w14:paraId="126644C5" w14:textId="7A677399" w:rsidR="00FD00FD" w:rsidRDefault="00FD00FD" w:rsidP="00FD00FD">
            <w:r>
              <w:t xml:space="preserve">Who can access </w:t>
            </w:r>
            <w:proofErr w:type="spellStart"/>
            <w:r>
              <w:t>PharmOutcomes</w:t>
            </w:r>
            <w:proofErr w:type="spellEnd"/>
            <w:r w:rsidR="00A43093">
              <w:t>?</w:t>
            </w:r>
          </w:p>
        </w:tc>
        <w:tc>
          <w:tcPr>
            <w:tcW w:w="5873" w:type="dxa"/>
          </w:tcPr>
          <w:p w14:paraId="7868F535" w14:textId="77777777" w:rsidR="00FD00FD" w:rsidRDefault="00FD00FD" w:rsidP="00FD00FD">
            <w:pPr>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r>
              <w:rPr>
                <w:i/>
                <w:iCs/>
                <w:color w:val="A6A6A6" w:themeColor="background1" w:themeShade="A6"/>
              </w:rPr>
              <w:t xml:space="preserve">Names of people with access to </w:t>
            </w:r>
            <w:proofErr w:type="spellStart"/>
            <w:r>
              <w:rPr>
                <w:i/>
                <w:iCs/>
                <w:color w:val="A6A6A6" w:themeColor="background1" w:themeShade="A6"/>
              </w:rPr>
              <w:t>PharmOutcomes</w:t>
            </w:r>
            <w:proofErr w:type="spellEnd"/>
          </w:p>
          <w:p w14:paraId="6D93E292" w14:textId="77777777" w:rsidR="00FD00FD" w:rsidRDefault="00FD00FD" w:rsidP="00FD00FD">
            <w:pPr>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p>
          <w:p w14:paraId="5D67DFAB" w14:textId="77777777" w:rsidR="00FD00FD" w:rsidRPr="00187A9C" w:rsidRDefault="00FD00FD" w:rsidP="00FD00FD">
            <w:pPr>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p>
        </w:tc>
      </w:tr>
      <w:tr w:rsidR="00FD00FD" w14:paraId="0B2AD679" w14:textId="77777777" w:rsidTr="00A43093">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369" w:type="dxa"/>
          </w:tcPr>
          <w:p w14:paraId="15023EAA" w14:textId="6DCAAC64" w:rsidR="00FD00FD" w:rsidRDefault="00FD00FD" w:rsidP="00FD00FD">
            <w:r>
              <w:t>Who has a smart card and can provide access SCR records if I can’t</w:t>
            </w:r>
            <w:r w:rsidR="00A43093">
              <w:t>?</w:t>
            </w:r>
          </w:p>
        </w:tc>
        <w:tc>
          <w:tcPr>
            <w:tcW w:w="5873" w:type="dxa"/>
          </w:tcPr>
          <w:p w14:paraId="122AB33D" w14:textId="77777777" w:rsidR="00FD00FD" w:rsidRPr="00187A9C" w:rsidRDefault="00FD00FD" w:rsidP="00FD00FD">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r>
              <w:rPr>
                <w:i/>
                <w:iCs/>
                <w:color w:val="A6A6A6" w:themeColor="background1" w:themeShade="A6"/>
              </w:rPr>
              <w:t>Names of team members with smart cards</w:t>
            </w:r>
          </w:p>
        </w:tc>
      </w:tr>
      <w:tr w:rsidR="00FD00FD" w14:paraId="48CDC6AF" w14:textId="77777777" w:rsidTr="00FD00FD">
        <w:tc>
          <w:tcPr>
            <w:cnfStyle w:val="001000000000" w:firstRow="0" w:lastRow="0" w:firstColumn="1" w:lastColumn="0" w:oddVBand="0" w:evenVBand="0" w:oddHBand="0" w:evenHBand="0" w:firstRowFirstColumn="0" w:firstRowLastColumn="0" w:lastRowFirstColumn="0" w:lastRowLastColumn="0"/>
            <w:tcW w:w="3369" w:type="dxa"/>
          </w:tcPr>
          <w:p w14:paraId="057292FD" w14:textId="25E208DA" w:rsidR="00FD00FD" w:rsidRDefault="00FD00FD" w:rsidP="00FD00FD">
            <w:proofErr w:type="spellStart"/>
            <w:r>
              <w:t>PharmOutcomes</w:t>
            </w:r>
            <w:proofErr w:type="spellEnd"/>
            <w:r>
              <w:t>/</w:t>
            </w:r>
            <w:proofErr w:type="spellStart"/>
            <w:r>
              <w:t>NHSmail</w:t>
            </w:r>
            <w:proofErr w:type="spellEnd"/>
            <w:r>
              <w:t xml:space="preserve"> is checked for referrals every ___</w:t>
            </w:r>
            <w:r w:rsidR="00A43093">
              <w:t>__</w:t>
            </w:r>
            <w:r>
              <w:t xml:space="preserve"> and by who?</w:t>
            </w:r>
          </w:p>
        </w:tc>
        <w:tc>
          <w:tcPr>
            <w:tcW w:w="5873" w:type="dxa"/>
          </w:tcPr>
          <w:p w14:paraId="177D9BC6" w14:textId="77777777" w:rsidR="00FD00FD" w:rsidRPr="00187A9C" w:rsidRDefault="00FD00FD" w:rsidP="00FD00FD">
            <w:pPr>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r>
              <w:rPr>
                <w:i/>
                <w:iCs/>
                <w:color w:val="A6A6A6" w:themeColor="background1" w:themeShade="A6"/>
              </w:rPr>
              <w:t>How often do you expect the team to check for referrals (this should be at the start and end of the day as a minimum)? Who in the pharmacy is responsible for checking this?</w:t>
            </w:r>
          </w:p>
        </w:tc>
      </w:tr>
      <w:tr w:rsidR="00FD00FD" w14:paraId="3EC06554" w14:textId="77777777" w:rsidTr="00FD0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94BF38E" w14:textId="77777777" w:rsidR="00FD00FD" w:rsidRDefault="00FD00FD" w:rsidP="00FD00FD">
            <w:r>
              <w:t>Where is the POM register (to record emergency supplies)?</w:t>
            </w:r>
          </w:p>
        </w:tc>
        <w:tc>
          <w:tcPr>
            <w:tcW w:w="5873" w:type="dxa"/>
          </w:tcPr>
          <w:p w14:paraId="11CB491C" w14:textId="77777777" w:rsidR="00FD00FD" w:rsidRPr="00187A9C" w:rsidRDefault="00FD00FD" w:rsidP="00FD00FD">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r>
              <w:rPr>
                <w:i/>
                <w:iCs/>
                <w:color w:val="A6A6A6" w:themeColor="background1" w:themeShade="A6"/>
              </w:rPr>
              <w:t>Medication supplies must follow normal emergency supply rules including record keeping. Where are these recorded?</w:t>
            </w:r>
          </w:p>
        </w:tc>
      </w:tr>
      <w:tr w:rsidR="00FD00FD" w14:paraId="3BC8B0FE" w14:textId="77777777" w:rsidTr="00A43093">
        <w:trPr>
          <w:trHeight w:val="1880"/>
        </w:trPr>
        <w:tc>
          <w:tcPr>
            <w:cnfStyle w:val="001000000000" w:firstRow="0" w:lastRow="0" w:firstColumn="1" w:lastColumn="0" w:oddVBand="0" w:evenVBand="0" w:oddHBand="0" w:evenHBand="0" w:firstRowFirstColumn="0" w:firstRowLastColumn="0" w:lastRowFirstColumn="0" w:lastRowLastColumn="0"/>
            <w:tcW w:w="3369" w:type="dxa"/>
          </w:tcPr>
          <w:p w14:paraId="75FC1D28" w14:textId="77777777" w:rsidR="00FD00FD" w:rsidRDefault="00FD00FD" w:rsidP="00FD00FD">
            <w:r>
              <w:t>Where are contact details to refer patients on to other providers?</w:t>
            </w:r>
          </w:p>
        </w:tc>
        <w:tc>
          <w:tcPr>
            <w:tcW w:w="5873" w:type="dxa"/>
          </w:tcPr>
          <w:p w14:paraId="63F778F9" w14:textId="77777777" w:rsidR="00FD00FD" w:rsidRDefault="00FD00FD" w:rsidP="00FD00FD">
            <w:pPr>
              <w:cnfStyle w:val="000000000000" w:firstRow="0" w:lastRow="0" w:firstColumn="0" w:lastColumn="0" w:oddVBand="0" w:evenVBand="0" w:oddHBand="0" w:evenHBand="0" w:firstRowFirstColumn="0" w:firstRowLastColumn="0" w:lastRowFirstColumn="0" w:lastRowLastColumn="0"/>
            </w:pPr>
            <w:r>
              <w:t>All local healthcare providers and their non-public contact details can be found through Service Finder.</w:t>
            </w:r>
          </w:p>
          <w:p w14:paraId="27E8C299" w14:textId="77777777" w:rsidR="00FD00FD" w:rsidRDefault="00562859" w:rsidP="00FD00FD">
            <w:pPr>
              <w:cnfStyle w:val="000000000000" w:firstRow="0" w:lastRow="0" w:firstColumn="0" w:lastColumn="0" w:oddVBand="0" w:evenVBand="0" w:oddHBand="0" w:evenHBand="0" w:firstRowFirstColumn="0" w:firstRowLastColumn="0" w:lastRowFirstColumn="0" w:lastRowLastColumn="0"/>
            </w:pPr>
            <w:hyperlink r:id="rId9" w:anchor="/login" w:history="1">
              <w:r w:rsidR="00FD00FD">
                <w:rPr>
                  <w:rStyle w:val="Hyperlink"/>
                </w:rPr>
                <w:t>https://finder.directoryofservices.nhs.uk/#/login</w:t>
              </w:r>
            </w:hyperlink>
          </w:p>
          <w:p w14:paraId="277E2EC4" w14:textId="77777777" w:rsidR="00FD00FD" w:rsidRDefault="00FD00FD" w:rsidP="00FD00FD">
            <w:pPr>
              <w:cnfStyle w:val="000000000000" w:firstRow="0" w:lastRow="0" w:firstColumn="0" w:lastColumn="0" w:oddVBand="0" w:evenVBand="0" w:oddHBand="0" w:evenHBand="0" w:firstRowFirstColumn="0" w:firstRowLastColumn="0" w:lastRowFirstColumn="0" w:lastRowLastColumn="0"/>
            </w:pPr>
            <w:r>
              <w:t>Username:</w:t>
            </w:r>
          </w:p>
          <w:p w14:paraId="2ED4DE1C" w14:textId="77777777" w:rsidR="00FD00FD" w:rsidRDefault="00FD00FD" w:rsidP="00FD00FD">
            <w:pPr>
              <w:cnfStyle w:val="000000000000" w:firstRow="0" w:lastRow="0" w:firstColumn="0" w:lastColumn="0" w:oddVBand="0" w:evenVBand="0" w:oddHBand="0" w:evenHBand="0" w:firstRowFirstColumn="0" w:firstRowLastColumn="0" w:lastRowFirstColumn="0" w:lastRowLastColumn="0"/>
            </w:pPr>
          </w:p>
          <w:p w14:paraId="3759A7E5" w14:textId="77777777" w:rsidR="00FD00FD" w:rsidRDefault="00FD00FD" w:rsidP="00FD00FD">
            <w:pPr>
              <w:cnfStyle w:val="000000000000" w:firstRow="0" w:lastRow="0" w:firstColumn="0" w:lastColumn="0" w:oddVBand="0" w:evenVBand="0" w:oddHBand="0" w:evenHBand="0" w:firstRowFirstColumn="0" w:firstRowLastColumn="0" w:lastRowFirstColumn="0" w:lastRowLastColumn="0"/>
            </w:pPr>
            <w:r>
              <w:t>Password:</w:t>
            </w:r>
          </w:p>
          <w:p w14:paraId="058AE039" w14:textId="77777777" w:rsidR="00FD00FD" w:rsidRPr="00187A9C" w:rsidRDefault="00FD00FD" w:rsidP="00FD00FD">
            <w:pPr>
              <w:cnfStyle w:val="000000000000" w:firstRow="0" w:lastRow="0" w:firstColumn="0" w:lastColumn="0" w:oddVBand="0" w:evenVBand="0" w:oddHBand="0" w:evenHBand="0" w:firstRowFirstColumn="0" w:firstRowLastColumn="0" w:lastRowFirstColumn="0" w:lastRowLastColumn="0"/>
            </w:pPr>
          </w:p>
        </w:tc>
      </w:tr>
    </w:tbl>
    <w:p w14:paraId="526795CD" w14:textId="736E72D3" w:rsidR="00187A9C" w:rsidRPr="00FD00FD" w:rsidRDefault="00B571B0">
      <w:pPr>
        <w:rPr>
          <w:sz w:val="20"/>
          <w:szCs w:val="20"/>
        </w:rPr>
      </w:pPr>
      <w:r w:rsidRPr="00FD00FD">
        <w:rPr>
          <w:sz w:val="20"/>
          <w:szCs w:val="20"/>
        </w:rPr>
        <w:t xml:space="preserve">When managing requests through CPCS for minor illnesses, you should deal with the patient </w:t>
      </w:r>
      <w:r w:rsidR="00580CEB">
        <w:rPr>
          <w:sz w:val="20"/>
          <w:szCs w:val="20"/>
        </w:rPr>
        <w:t>using your professional knowledge and skil</w:t>
      </w:r>
      <w:r w:rsidR="00124A4E">
        <w:rPr>
          <w:sz w:val="20"/>
          <w:szCs w:val="20"/>
        </w:rPr>
        <w:t>ls, examining and taking a history as needed</w:t>
      </w:r>
      <w:r w:rsidRPr="00FD00FD">
        <w:rPr>
          <w:sz w:val="20"/>
          <w:szCs w:val="20"/>
        </w:rPr>
        <w:t>.</w:t>
      </w:r>
      <w:r w:rsidR="00DA07DD">
        <w:rPr>
          <w:sz w:val="20"/>
          <w:szCs w:val="20"/>
        </w:rPr>
        <w:t xml:space="preserve"> Look for red flags and use Clinical Knowledge Summaries to support any decisions.</w:t>
      </w:r>
      <w:r w:rsidRPr="00FD00FD">
        <w:rPr>
          <w:sz w:val="20"/>
          <w:szCs w:val="20"/>
        </w:rPr>
        <w:t xml:space="preserve"> Provide advice, sell a product or triage and refer as appropriate following consultation (in the consultation room). DO NOT refer the patient back to NHS111. You may receive referrals that you can’t treat, that is normal and expected. Your job is to provide the clinical advice on next steps, referring as needed.</w:t>
      </w:r>
      <w:r w:rsidR="005139FD" w:rsidRPr="00FD00FD">
        <w:rPr>
          <w:sz w:val="20"/>
          <w:szCs w:val="20"/>
        </w:rPr>
        <w:t xml:space="preserve"> Please remember the NHS 111 team are referring patients to you as non-clinicians and without sight of the patient to triage, direct and help them appropriately. Ensure patients go away satisfied with the outcome or referral.</w:t>
      </w:r>
      <w:r w:rsidR="006069BD">
        <w:rPr>
          <w:sz w:val="20"/>
          <w:szCs w:val="20"/>
        </w:rPr>
        <w:t xml:space="preserve"> Finally, don’t forget to complete the </w:t>
      </w:r>
      <w:proofErr w:type="spellStart"/>
      <w:r w:rsidR="006069BD">
        <w:rPr>
          <w:sz w:val="20"/>
          <w:szCs w:val="20"/>
        </w:rPr>
        <w:t>PharmOutcomes</w:t>
      </w:r>
      <w:proofErr w:type="spellEnd"/>
      <w:r w:rsidR="006069BD">
        <w:rPr>
          <w:sz w:val="20"/>
          <w:szCs w:val="20"/>
        </w:rPr>
        <w:t xml:space="preserve"> referral to record your actions.</w:t>
      </w:r>
    </w:p>
    <w:p w14:paraId="261DA851" w14:textId="1DE9DA76" w:rsidR="00CA1256" w:rsidRPr="00FD00FD" w:rsidRDefault="00187A9C">
      <w:pPr>
        <w:rPr>
          <w:sz w:val="20"/>
          <w:szCs w:val="20"/>
        </w:rPr>
      </w:pPr>
      <w:r w:rsidRPr="00FD00FD">
        <w:rPr>
          <w:sz w:val="20"/>
          <w:szCs w:val="20"/>
        </w:rPr>
        <w:t xml:space="preserve">Within Cheshire, Wirral and Warrington there are </w:t>
      </w:r>
      <w:proofErr w:type="gramStart"/>
      <w:r w:rsidRPr="00FD00FD">
        <w:rPr>
          <w:sz w:val="20"/>
          <w:szCs w:val="20"/>
        </w:rPr>
        <w:t>a number of</w:t>
      </w:r>
      <w:proofErr w:type="gramEnd"/>
      <w:r w:rsidRPr="00FD00FD">
        <w:rPr>
          <w:sz w:val="20"/>
          <w:szCs w:val="20"/>
        </w:rPr>
        <w:t xml:space="preserve"> other services that might be appropriate during this service. For example, when </w:t>
      </w:r>
      <w:r w:rsidR="00CA1256" w:rsidRPr="00FD00FD">
        <w:rPr>
          <w:sz w:val="20"/>
          <w:szCs w:val="20"/>
        </w:rPr>
        <w:t xml:space="preserve">assessing the </w:t>
      </w:r>
      <w:r w:rsidR="00A43093" w:rsidRPr="00FD00FD">
        <w:rPr>
          <w:sz w:val="20"/>
          <w:szCs w:val="20"/>
        </w:rPr>
        <w:t>patient,</w:t>
      </w:r>
      <w:r w:rsidR="00CA1256" w:rsidRPr="00FD00FD">
        <w:rPr>
          <w:sz w:val="20"/>
          <w:szCs w:val="20"/>
        </w:rPr>
        <w:t xml:space="preserve"> the situation may require supply of a POM through a minor ailments service.</w:t>
      </w:r>
      <w:r w:rsidR="006069BD">
        <w:rPr>
          <w:sz w:val="20"/>
          <w:szCs w:val="20"/>
        </w:rPr>
        <w:t xml:space="preserve"> </w:t>
      </w:r>
      <w:r w:rsidR="00CA1256" w:rsidRPr="00FD00FD">
        <w:rPr>
          <w:sz w:val="20"/>
          <w:szCs w:val="20"/>
        </w:rPr>
        <w:t xml:space="preserve">Details of the services available locally are on the LPCs website: </w:t>
      </w:r>
      <w:hyperlink r:id="rId10" w:history="1">
        <w:r w:rsidR="00CA1256" w:rsidRPr="00FD00FD">
          <w:rPr>
            <w:rStyle w:val="Hyperlink"/>
            <w:sz w:val="20"/>
            <w:szCs w:val="20"/>
          </w:rPr>
          <w:t>www.cpcw.org.uk</w:t>
        </w:r>
      </w:hyperlink>
    </w:p>
    <w:p w14:paraId="0D6266F2" w14:textId="222C2D3E" w:rsidR="00CA1256" w:rsidRPr="00FD00FD" w:rsidRDefault="00CA1256">
      <w:pPr>
        <w:rPr>
          <w:sz w:val="20"/>
          <w:szCs w:val="20"/>
        </w:rPr>
      </w:pPr>
      <w:r w:rsidRPr="00FD00FD">
        <w:rPr>
          <w:sz w:val="20"/>
          <w:szCs w:val="20"/>
        </w:rPr>
        <w:t xml:space="preserve">The training requirements for locum pharmacists </w:t>
      </w:r>
      <w:r w:rsidR="00D82C72">
        <w:rPr>
          <w:sz w:val="20"/>
          <w:szCs w:val="20"/>
        </w:rPr>
        <w:t xml:space="preserve">providing local services </w:t>
      </w:r>
      <w:r w:rsidRPr="00FD00FD">
        <w:rPr>
          <w:sz w:val="20"/>
          <w:szCs w:val="20"/>
        </w:rPr>
        <w:t xml:space="preserve">can be found in the locum passports: </w:t>
      </w:r>
      <w:hyperlink r:id="rId11" w:history="1">
        <w:r w:rsidRPr="00FD00FD">
          <w:rPr>
            <w:rStyle w:val="Hyperlink"/>
            <w:sz w:val="20"/>
            <w:szCs w:val="20"/>
          </w:rPr>
          <w:t>Cheshire East</w:t>
        </w:r>
      </w:hyperlink>
      <w:r w:rsidRPr="00FD00FD">
        <w:rPr>
          <w:sz w:val="20"/>
          <w:szCs w:val="20"/>
        </w:rPr>
        <w:t xml:space="preserve">, </w:t>
      </w:r>
      <w:hyperlink r:id="rId12" w:history="1">
        <w:r w:rsidRPr="00FD00FD">
          <w:rPr>
            <w:rStyle w:val="Hyperlink"/>
            <w:sz w:val="20"/>
            <w:szCs w:val="20"/>
          </w:rPr>
          <w:t>Cheshire West</w:t>
        </w:r>
      </w:hyperlink>
      <w:r w:rsidRPr="00FD00FD">
        <w:rPr>
          <w:sz w:val="20"/>
          <w:szCs w:val="20"/>
        </w:rPr>
        <w:t xml:space="preserve">, </w:t>
      </w:r>
      <w:hyperlink r:id="rId13" w:history="1">
        <w:r w:rsidRPr="00FD00FD">
          <w:rPr>
            <w:rStyle w:val="Hyperlink"/>
            <w:sz w:val="20"/>
            <w:szCs w:val="20"/>
          </w:rPr>
          <w:t>Wirral</w:t>
        </w:r>
      </w:hyperlink>
      <w:r w:rsidRPr="00FD00FD">
        <w:rPr>
          <w:sz w:val="20"/>
          <w:szCs w:val="20"/>
        </w:rPr>
        <w:t xml:space="preserve"> and </w:t>
      </w:r>
      <w:hyperlink r:id="rId14" w:history="1">
        <w:r w:rsidRPr="00FD00FD">
          <w:rPr>
            <w:rStyle w:val="Hyperlink"/>
            <w:sz w:val="20"/>
            <w:szCs w:val="20"/>
          </w:rPr>
          <w:t>Warrington</w:t>
        </w:r>
      </w:hyperlink>
      <w:r w:rsidRPr="00FD00FD">
        <w:rPr>
          <w:sz w:val="20"/>
          <w:szCs w:val="20"/>
        </w:rPr>
        <w:t>.</w:t>
      </w:r>
    </w:p>
    <w:sectPr w:rsidR="00CA1256" w:rsidRPr="00FD00F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D1C3" w14:textId="77777777" w:rsidR="001C3DAA" w:rsidRDefault="001C3DAA" w:rsidP="00CA1256">
      <w:pPr>
        <w:spacing w:after="0" w:line="240" w:lineRule="auto"/>
      </w:pPr>
      <w:r>
        <w:separator/>
      </w:r>
    </w:p>
  </w:endnote>
  <w:endnote w:type="continuationSeparator" w:id="0">
    <w:p w14:paraId="07967DBA" w14:textId="77777777" w:rsidR="001C3DAA" w:rsidRDefault="001C3DAA" w:rsidP="00C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90EB" w14:textId="77777777" w:rsidR="001C3DAA" w:rsidRDefault="001C3DAA" w:rsidP="00CA1256">
      <w:pPr>
        <w:spacing w:after="0" w:line="240" w:lineRule="auto"/>
      </w:pPr>
      <w:r>
        <w:separator/>
      </w:r>
    </w:p>
  </w:footnote>
  <w:footnote w:type="continuationSeparator" w:id="0">
    <w:p w14:paraId="5191A8FD" w14:textId="77777777" w:rsidR="001C3DAA" w:rsidRDefault="001C3DAA" w:rsidP="00CA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4206" w14:textId="7229D80A" w:rsidR="00CA1256" w:rsidRDefault="00CA1256">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A51E9F9" wp14:editId="09CC6EF9">
          <wp:simplePos x="0" y="0"/>
          <wp:positionH relativeFrom="column">
            <wp:posOffset>2712085</wp:posOffset>
          </wp:positionH>
          <wp:positionV relativeFrom="paragraph">
            <wp:posOffset>-401955</wp:posOffset>
          </wp:positionV>
          <wp:extent cx="3868420" cy="91340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420" cy="9134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1BA2"/>
    <w:rsid w:val="00124A4E"/>
    <w:rsid w:val="00187A9C"/>
    <w:rsid w:val="001C3DAA"/>
    <w:rsid w:val="005139FD"/>
    <w:rsid w:val="00562859"/>
    <w:rsid w:val="00580CEB"/>
    <w:rsid w:val="006069BD"/>
    <w:rsid w:val="00721BA2"/>
    <w:rsid w:val="007767FA"/>
    <w:rsid w:val="00A43093"/>
    <w:rsid w:val="00B571B0"/>
    <w:rsid w:val="00BA3143"/>
    <w:rsid w:val="00C149DA"/>
    <w:rsid w:val="00CA1256"/>
    <w:rsid w:val="00D82C72"/>
    <w:rsid w:val="00DA07DD"/>
    <w:rsid w:val="00E157CB"/>
    <w:rsid w:val="00FD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66C0"/>
  <w15:chartTrackingRefBased/>
  <w15:docId w15:val="{D00E02FE-7725-42DA-A14D-F84D9B0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87A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87A9C"/>
    <w:rPr>
      <w:color w:val="0000FF"/>
      <w:u w:val="single"/>
    </w:rPr>
  </w:style>
  <w:style w:type="character" w:styleId="UnresolvedMention">
    <w:name w:val="Unresolved Mention"/>
    <w:basedOn w:val="DefaultParagraphFont"/>
    <w:uiPriority w:val="99"/>
    <w:semiHidden/>
    <w:unhideWhenUsed/>
    <w:rsid w:val="00CA1256"/>
    <w:rPr>
      <w:color w:val="605E5C"/>
      <w:shd w:val="clear" w:color="auto" w:fill="E1DFDD"/>
    </w:rPr>
  </w:style>
  <w:style w:type="paragraph" w:styleId="Header">
    <w:name w:val="header"/>
    <w:basedOn w:val="Normal"/>
    <w:link w:val="HeaderChar"/>
    <w:uiPriority w:val="99"/>
    <w:unhideWhenUsed/>
    <w:rsid w:val="00CA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56"/>
  </w:style>
  <w:style w:type="paragraph" w:styleId="Footer">
    <w:name w:val="footer"/>
    <w:basedOn w:val="Normal"/>
    <w:link w:val="FooterChar"/>
    <w:uiPriority w:val="99"/>
    <w:unhideWhenUsed/>
    <w:rsid w:val="00CA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cw.org.uk/wp-content/uploads/sites/19/2019/06/Wirral-Passport-v3-Jun-19.doc"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pcw.org.uk/wp-content/uploads/sites/19/2019/06/CWC-Passport-v3-Jun-19.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cw.org.uk/wp-content/uploads/sites/19/2019/06/CE-Passport-v3-Jun-19.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pcw.org.uk" TargetMode="External"/><Relationship Id="rId4" Type="http://schemas.openxmlformats.org/officeDocument/2006/relationships/styles" Target="styles.xml"/><Relationship Id="rId9" Type="http://schemas.openxmlformats.org/officeDocument/2006/relationships/hyperlink" Target="https://finder.directoryofservices.nhs.uk/" TargetMode="External"/><Relationship Id="rId14" Type="http://schemas.openxmlformats.org/officeDocument/2006/relationships/hyperlink" Target="https://www.cpcw.org.uk/wp-content/uploads/sites/19/2019/06/Warrington-Passport-v3-Jun19.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E0A4B0566C649B1A298527379E0FD" ma:contentTypeVersion="10" ma:contentTypeDescription="Create a new document." ma:contentTypeScope="" ma:versionID="bfbcd1de0e922af865a46391099657d7">
  <xsd:schema xmlns:xsd="http://www.w3.org/2001/XMLSchema" xmlns:xs="http://www.w3.org/2001/XMLSchema" xmlns:p="http://schemas.microsoft.com/office/2006/metadata/properties" xmlns:ns3="9dcaec17-5d8f-43c1-a4ee-1a9e46bba7c8" xmlns:ns4="f0963c83-d199-45a8-b61c-13bb4d541b15" targetNamespace="http://schemas.microsoft.com/office/2006/metadata/properties" ma:root="true" ma:fieldsID="2ed2d99a8a69044847f8fd818ffeeac8" ns3:_="" ns4:_="">
    <xsd:import namespace="9dcaec17-5d8f-43c1-a4ee-1a9e46bba7c8"/>
    <xsd:import namespace="f0963c83-d199-45a8-b61c-13bb4d541b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ec17-5d8f-43c1-a4ee-1a9e46bba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63c83-d199-45a8-b61c-13bb4d541b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A306F-786F-4502-B3D4-9CDB7C745B51}">
  <ds:schemaRefs>
    <ds:schemaRef ds:uri="http://schemas.microsoft.com/sharepoint/v3/contenttype/forms"/>
  </ds:schemaRefs>
</ds:datastoreItem>
</file>

<file path=customXml/itemProps2.xml><?xml version="1.0" encoding="utf-8"?>
<ds:datastoreItem xmlns:ds="http://schemas.openxmlformats.org/officeDocument/2006/customXml" ds:itemID="{5E387A3F-46DE-428A-91A3-3551D654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ec17-5d8f-43c1-a4ee-1a9e46bba7c8"/>
    <ds:schemaRef ds:uri="f0963c83-d199-45a8-b61c-13bb4d54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B8916-D03B-4BF8-A288-E4D5E2991A99}">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0963c83-d199-45a8-b61c-13bb4d541b15"/>
    <ds:schemaRef ds:uri="9dcaec17-5d8f-43c1-a4ee-1a9e46bba7c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Thayer</dc:creator>
  <cp:keywords/>
  <dc:description/>
  <cp:lastModifiedBy>Nick Thayer</cp:lastModifiedBy>
  <cp:revision>11</cp:revision>
  <dcterms:created xsi:type="dcterms:W3CDTF">2019-10-10T13:27:00Z</dcterms:created>
  <dcterms:modified xsi:type="dcterms:W3CDTF">2019-10-21T20:46:00Z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0x010100EC9E0A4B0566C649B1A298527379E0FD</vt:lpwstr>
  </property>
</Properties>
</file>