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44B42" w:rsidTr="00A7088F">
        <w:tc>
          <w:tcPr>
            <w:tcW w:w="10206" w:type="dxa"/>
            <w:shd w:val="clear" w:color="auto" w:fill="2E74B5" w:themeFill="accent1" w:themeFillShade="BF"/>
          </w:tcPr>
          <w:p w:rsidR="00144B42" w:rsidRDefault="004B7C83">
            <w:bookmarkStart w:id="0" w:name="_GoBack"/>
            <w:bookmarkEnd w:id="0"/>
            <w:r>
              <w:t xml:space="preserve">Protocol: </w:t>
            </w:r>
            <w:r w:rsidR="003D7553">
              <w:t>Car</w:t>
            </w:r>
            <w:r>
              <w:t>bon Monoxide (CO) Monitoring. ABL Health - Wirral</w:t>
            </w:r>
          </w:p>
        </w:tc>
      </w:tr>
      <w:tr w:rsidR="003D7553" w:rsidTr="00A7088F">
        <w:tc>
          <w:tcPr>
            <w:tcW w:w="10206" w:type="dxa"/>
            <w:shd w:val="clear" w:color="auto" w:fill="2E74B5" w:themeFill="accent1" w:themeFillShade="BF"/>
          </w:tcPr>
          <w:p w:rsidR="003D7553" w:rsidRDefault="003D7553">
            <w:r>
              <w:t>Date: 1</w:t>
            </w:r>
            <w:r w:rsidRPr="003D7553">
              <w:rPr>
                <w:vertAlign w:val="superscript"/>
              </w:rPr>
              <w:t>st</w:t>
            </w:r>
            <w:r>
              <w:t xml:space="preserve"> April 2016 – 31</w:t>
            </w:r>
            <w:r w:rsidRPr="003D7553">
              <w:rPr>
                <w:vertAlign w:val="superscript"/>
              </w:rPr>
              <w:t>st</w:t>
            </w:r>
            <w:r>
              <w:t xml:space="preserve"> March 2017</w:t>
            </w:r>
          </w:p>
        </w:tc>
      </w:tr>
      <w:tr w:rsidR="00144B42" w:rsidTr="00A7088F">
        <w:tc>
          <w:tcPr>
            <w:tcW w:w="10206" w:type="dxa"/>
            <w:shd w:val="clear" w:color="auto" w:fill="2E74B5" w:themeFill="accent1" w:themeFillShade="BF"/>
          </w:tcPr>
          <w:p w:rsidR="00144B42" w:rsidRDefault="00144B42">
            <w:r>
              <w:t>Review date:</w:t>
            </w:r>
            <w:r w:rsidR="003D7553">
              <w:t xml:space="preserve"> 1</w:t>
            </w:r>
            <w:r w:rsidR="003D7553" w:rsidRPr="003D7553">
              <w:rPr>
                <w:vertAlign w:val="superscript"/>
              </w:rPr>
              <w:t>st</w:t>
            </w:r>
            <w:r w:rsidR="003D7553">
              <w:t xml:space="preserve"> March 2017</w:t>
            </w:r>
          </w:p>
        </w:tc>
      </w:tr>
      <w:tr w:rsidR="003D7553" w:rsidTr="00A7088F">
        <w:tc>
          <w:tcPr>
            <w:tcW w:w="10206" w:type="dxa"/>
            <w:shd w:val="clear" w:color="auto" w:fill="2E74B5" w:themeFill="accent1" w:themeFillShade="BF"/>
          </w:tcPr>
          <w:p w:rsidR="003D7553" w:rsidRDefault="003D7553">
            <w:r>
              <w:t>Version: 1</w:t>
            </w:r>
          </w:p>
        </w:tc>
      </w:tr>
      <w:tr w:rsidR="00144B42" w:rsidTr="00A7088F">
        <w:tc>
          <w:tcPr>
            <w:tcW w:w="10206" w:type="dxa"/>
            <w:shd w:val="clear" w:color="auto" w:fill="2E74B5" w:themeFill="accent1" w:themeFillShade="BF"/>
          </w:tcPr>
          <w:p w:rsidR="00144B42" w:rsidRDefault="0030356F">
            <w:r>
              <w:t>Author: Elizabeth Woodworth</w:t>
            </w:r>
          </w:p>
        </w:tc>
      </w:tr>
      <w:tr w:rsidR="0030356F" w:rsidTr="00A7088F">
        <w:tc>
          <w:tcPr>
            <w:tcW w:w="10206" w:type="dxa"/>
            <w:shd w:val="clear" w:color="auto" w:fill="2E74B5" w:themeFill="accent1" w:themeFillShade="BF"/>
          </w:tcPr>
          <w:p w:rsidR="0030356F" w:rsidRDefault="0030356F">
            <w:r>
              <w:t>Purpose</w:t>
            </w:r>
          </w:p>
        </w:tc>
      </w:tr>
      <w:tr w:rsidR="00144B42" w:rsidTr="00A7088F">
        <w:tc>
          <w:tcPr>
            <w:tcW w:w="10206" w:type="dxa"/>
          </w:tcPr>
          <w:p w:rsidR="003D7553" w:rsidRDefault="003D7553"/>
          <w:p w:rsidR="00144B42" w:rsidRDefault="00DE47B9">
            <w:r>
              <w:t>To ensure robust se</w:t>
            </w:r>
            <w:r w:rsidR="00824810">
              <w:t>rvice delivery and data quality.</w:t>
            </w:r>
            <w:r w:rsidR="003D7553">
              <w:t xml:space="preserve"> </w:t>
            </w:r>
          </w:p>
          <w:p w:rsidR="003D7553" w:rsidRDefault="003D7553">
            <w:r>
              <w:t>To ensure correct use of CO monitors and comply with infection control.</w:t>
            </w:r>
          </w:p>
          <w:p w:rsidR="00A7088F" w:rsidRDefault="00A7088F"/>
        </w:tc>
      </w:tr>
      <w:tr w:rsidR="00144B42" w:rsidTr="00A7088F">
        <w:tc>
          <w:tcPr>
            <w:tcW w:w="10206" w:type="dxa"/>
            <w:shd w:val="clear" w:color="auto" w:fill="2E74B5" w:themeFill="accent1" w:themeFillShade="BF"/>
          </w:tcPr>
          <w:p w:rsidR="00144B42" w:rsidRDefault="00144B42">
            <w:r>
              <w:t>Background</w:t>
            </w:r>
          </w:p>
        </w:tc>
      </w:tr>
      <w:tr w:rsidR="00733169" w:rsidTr="00A7088F">
        <w:tc>
          <w:tcPr>
            <w:tcW w:w="10206" w:type="dxa"/>
          </w:tcPr>
          <w:p w:rsidR="00144B42" w:rsidRDefault="00144B42"/>
          <w:p w:rsidR="00733169" w:rsidRDefault="00733169">
            <w:r>
              <w:t>Carbon Monoxide (CO) is a toxic gas which is inhaled by smokers from cigarettes.</w:t>
            </w:r>
            <w:r w:rsidR="00EC5868">
              <w:t xml:space="preserve"> It binds to carboxyhaemoglobin (</w:t>
            </w:r>
            <w:proofErr w:type="spellStart"/>
            <w:r w:rsidR="00EC5868">
              <w:t>COhb</w:t>
            </w:r>
            <w:proofErr w:type="spellEnd"/>
            <w:r w:rsidR="00EC5868">
              <w:t>) leading to arterial walls becoming more permeable, increasing the formation of plaque. In pregnancy, CO inhibits the release of oxygen into foetal tissue. Due to its` short half-life the</w:t>
            </w:r>
            <w:r>
              <w:t xml:space="preserve"> elimination</w:t>
            </w:r>
            <w:r w:rsidR="00EC5868">
              <w:t xml:space="preserve"> of CO from the body becomes</w:t>
            </w:r>
            <w:r>
              <w:t xml:space="preserve"> slower as smoking decreases, and is usually undetectable after 24 hours after the last cigarette is smoked.</w:t>
            </w:r>
          </w:p>
          <w:p w:rsidR="00733169" w:rsidRDefault="00733169"/>
          <w:p w:rsidR="00733169" w:rsidRDefault="00733169">
            <w:r>
              <w:t>CO</w:t>
            </w:r>
            <w:r w:rsidR="00416692">
              <w:t xml:space="preserve"> monitoring is an evidenced based,</w:t>
            </w:r>
            <w:r w:rsidR="00144B42">
              <w:t xml:space="preserve"> non-invasive, cost effective,</w:t>
            </w:r>
            <w:r w:rsidR="00416692">
              <w:t xml:space="preserve"> highly motivating tool for smokers trying to quit. The test provides a digital result, parts per million, (ppm). It is also an alternative measure of success in a harm reduction approach where clients are cutting down the number cigarettes prior to quitting or temporary abstinence.</w:t>
            </w:r>
          </w:p>
          <w:p w:rsidR="00AE78E0" w:rsidRDefault="00AE78E0"/>
          <w:p w:rsidR="00AE78E0" w:rsidRDefault="00AE78E0">
            <w:r>
              <w:t xml:space="preserve">Heavy smoking or mode of smoking, for example, Shisha / </w:t>
            </w:r>
            <w:r w:rsidR="00DE47B9">
              <w:t>Water pipes</w:t>
            </w:r>
            <w:r>
              <w:t xml:space="preserve">, or alternative products such as Cannabis, can result in higher levels of CO.  Lactose intolerance can also result in raised expired CO levels. Abnormally high expired CO levels (70 + ppm) could also be due to the exposure of faulty </w:t>
            </w:r>
            <w:r w:rsidR="00F704B8">
              <w:t>gas appliances. In these circumstances</w:t>
            </w:r>
            <w:r>
              <w:t xml:space="preserve"> the client should be given advice about CO poisoning, if necessary advised to attend Accident and Emergency and encouraged to contact the Health and Safety Executive, tel. 0800 300 363.</w:t>
            </w:r>
          </w:p>
          <w:p w:rsidR="00F704B8" w:rsidRDefault="00F704B8"/>
          <w:p w:rsidR="00F704B8" w:rsidRDefault="00F704B8">
            <w:r>
              <w:t>The effects of chronic exposure to CO include headache, fatigue and poor concentration.</w:t>
            </w:r>
          </w:p>
          <w:p w:rsidR="00144B42" w:rsidRDefault="00144B42"/>
          <w:p w:rsidR="00144B42" w:rsidRDefault="00144B42">
            <w:r>
              <w:t>CO verification rates are an essential marker of data quality as se</w:t>
            </w:r>
            <w:r w:rsidR="00553F22">
              <w:t xml:space="preserve">lf-reporting can be unreliable, therefore CO verification rates are one of the most important markers of data quality. </w:t>
            </w:r>
            <w:r w:rsidR="00F704B8">
              <w:t>85% of 4 week quitters must be CO validated.</w:t>
            </w:r>
          </w:p>
          <w:p w:rsidR="003D7553" w:rsidRDefault="003D7553"/>
        </w:tc>
      </w:tr>
      <w:tr w:rsidR="00733169" w:rsidTr="00553F22">
        <w:tc>
          <w:tcPr>
            <w:tcW w:w="10206" w:type="dxa"/>
            <w:shd w:val="clear" w:color="auto" w:fill="2E74B5" w:themeFill="accent1" w:themeFillShade="BF"/>
          </w:tcPr>
          <w:p w:rsidR="00733169" w:rsidRDefault="00553F22">
            <w:r>
              <w:t>CO testing</w:t>
            </w:r>
          </w:p>
        </w:tc>
      </w:tr>
      <w:tr w:rsidR="00733169" w:rsidTr="00A7088F">
        <w:tc>
          <w:tcPr>
            <w:tcW w:w="10206" w:type="dxa"/>
          </w:tcPr>
          <w:p w:rsidR="003D7553" w:rsidRDefault="003D7553"/>
          <w:p w:rsidR="00733169" w:rsidRDefault="00553F22">
            <w:r>
              <w:t>CO testing should be carried out on all smokers to provide a marker of smoking status at every consultation.</w:t>
            </w:r>
          </w:p>
          <w:p w:rsidR="00553F22" w:rsidRDefault="00553F22"/>
          <w:p w:rsidR="00553F22" w:rsidRDefault="00553F22">
            <w:r>
              <w:t>Client</w:t>
            </w:r>
            <w:r w:rsidR="00DE47B9">
              <w:t>s should be asked to hold their breath</w:t>
            </w:r>
            <w:r>
              <w:t xml:space="preserve"> for 15 seconds (10 seconds minimum) before blowing into the monitor</w:t>
            </w:r>
            <w:r w:rsidR="00DE47B9">
              <w:t>.  Clients with physical inability to hold their breath for 15 seconds, for example those with COPD, may need to practice holding their breath, to enable them to complete the test.</w:t>
            </w:r>
            <w:r w:rsidR="003D7553">
              <w:t xml:space="preserve"> In certain circumstances this will not be possible.</w:t>
            </w:r>
          </w:p>
          <w:p w:rsidR="003D7553" w:rsidRDefault="003D7553"/>
        </w:tc>
      </w:tr>
      <w:tr w:rsidR="004D0875" w:rsidTr="004D0875">
        <w:tc>
          <w:tcPr>
            <w:tcW w:w="10206" w:type="dxa"/>
            <w:shd w:val="clear" w:color="auto" w:fill="2E74B5" w:themeFill="accent1" w:themeFillShade="BF"/>
          </w:tcPr>
          <w:p w:rsidR="004D0875" w:rsidRDefault="004D0875">
            <w:r>
              <w:t>Infection control</w:t>
            </w:r>
          </w:p>
        </w:tc>
      </w:tr>
      <w:tr w:rsidR="004D0875" w:rsidTr="00A7088F">
        <w:tc>
          <w:tcPr>
            <w:tcW w:w="10206" w:type="dxa"/>
          </w:tcPr>
          <w:p w:rsidR="003D7553" w:rsidRDefault="003D7553"/>
          <w:p w:rsidR="004D0875" w:rsidRDefault="004D0875">
            <w:r>
              <w:t>Hand sanitizer gel should be used before and after using the machine.</w:t>
            </w:r>
          </w:p>
          <w:p w:rsidR="004D0875" w:rsidRDefault="004D0875"/>
          <w:p w:rsidR="004D0875" w:rsidRDefault="004D0875">
            <w:pPr>
              <w:rPr>
                <w:color w:val="FF0000"/>
              </w:rPr>
            </w:pPr>
            <w:r>
              <w:t>Cardboard tubes</w:t>
            </w:r>
            <w:r w:rsidR="00876223">
              <w:t xml:space="preserve"> or straws</w:t>
            </w:r>
            <w:r>
              <w:t xml:space="preserve"> are single use only and must be changed for every client. The client should be asked to insert and remove the tube</w:t>
            </w:r>
            <w:r w:rsidR="00876223">
              <w:t xml:space="preserve"> or straw from the monitor. They</w:t>
            </w:r>
            <w:r>
              <w:t xml:space="preserve"> must be discarded into a waste bag and </w:t>
            </w:r>
            <w:r>
              <w:lastRenderedPageBreak/>
              <w:t xml:space="preserve">disposed of safely. </w:t>
            </w:r>
            <w:r w:rsidR="00876223" w:rsidRPr="00876223">
              <w:t>In circumstances where there is a possibility of higher infection risk the waste shoul</w:t>
            </w:r>
            <w:r w:rsidR="00E52073">
              <w:t>d be double bagged and the bag disposed safely.</w:t>
            </w:r>
          </w:p>
          <w:p w:rsidR="004D0875" w:rsidRDefault="004D0875">
            <w:pPr>
              <w:rPr>
                <w:color w:val="FF0000"/>
              </w:rPr>
            </w:pPr>
          </w:p>
          <w:p w:rsidR="004D0875" w:rsidRDefault="004D0875">
            <w:r w:rsidRPr="004D0875">
              <w:t>Where applicable</w:t>
            </w:r>
            <w:r>
              <w:t>, an adapter should be used which has a one</w:t>
            </w:r>
            <w:r w:rsidR="00F704B8">
              <w:t>-</w:t>
            </w:r>
            <w:r>
              <w:t xml:space="preserve"> way valve that prevents inhalation from the monitor. Changing adapters must comply with the manufactures guidelines. Monitors must be wiped down after every</w:t>
            </w:r>
            <w:r w:rsidR="00824810">
              <w:t xml:space="preserve"> session with non-alcohol wipes. </w:t>
            </w:r>
          </w:p>
          <w:p w:rsidR="00B11FB4" w:rsidRPr="00876223" w:rsidRDefault="00B11FB4"/>
          <w:p w:rsidR="00B11FB4" w:rsidRPr="00876223" w:rsidRDefault="00B11FB4">
            <w:r w:rsidRPr="00876223">
              <w:t xml:space="preserve">The necessary frequency of changing T pieces are as </w:t>
            </w:r>
            <w:proofErr w:type="gramStart"/>
            <w:r w:rsidRPr="00876223">
              <w:t>follows:-</w:t>
            </w:r>
            <w:proofErr w:type="gramEnd"/>
            <w:r w:rsidRPr="00876223">
              <w:t xml:space="preserve"> Usage guidance</w:t>
            </w:r>
          </w:p>
          <w:p w:rsidR="00B11FB4" w:rsidRDefault="00B11FB4">
            <w:pPr>
              <w:rPr>
                <w:color w:val="FF0000"/>
              </w:rPr>
            </w:pPr>
          </w:p>
          <w:p w:rsidR="00B11FB4" w:rsidRPr="00EC5868" w:rsidRDefault="00B11FB4">
            <w:r w:rsidRPr="00EC5868">
              <w:t>Micro-medical</w:t>
            </w:r>
            <w:r w:rsidR="00EC5868">
              <w:t xml:space="preserve"> – the adapter must be discarded and replaced every 6 months</w:t>
            </w:r>
          </w:p>
          <w:p w:rsidR="00B11FB4" w:rsidRPr="009027DD" w:rsidRDefault="009027DD">
            <w:r>
              <w:t xml:space="preserve">            </w:t>
            </w:r>
            <w:proofErr w:type="spellStart"/>
            <w:r w:rsidR="00EC5868" w:rsidRPr="009027DD">
              <w:t>Bedfont</w:t>
            </w:r>
            <w:proofErr w:type="spellEnd"/>
            <w:r w:rsidR="00EC5868" w:rsidRPr="009027DD">
              <w:t xml:space="preserve"> –</w:t>
            </w:r>
            <w:r>
              <w:t xml:space="preserve"> </w:t>
            </w:r>
            <w:r w:rsidR="00EC5868" w:rsidRPr="009027DD">
              <w:t>the T pieces must be replaced monthly</w:t>
            </w:r>
          </w:p>
          <w:p w:rsidR="00876223" w:rsidRDefault="009027DD">
            <w:r>
              <w:t xml:space="preserve">         </w:t>
            </w:r>
            <w:r w:rsidRPr="009027DD">
              <w:t>BNC 2000</w:t>
            </w:r>
            <w:r>
              <w:t xml:space="preserve"> -  </w:t>
            </w:r>
            <w:r w:rsidRPr="009027DD">
              <w:t>the adapters must be replaced quarterly</w:t>
            </w:r>
          </w:p>
          <w:p w:rsidR="00824810" w:rsidRDefault="00824810">
            <w:r>
              <w:t>All monitors must be calibrated according to manufactures instructions and checked regularly. This must be dated and</w:t>
            </w:r>
            <w:r w:rsidR="00112C2B">
              <w:t xml:space="preserve"> el</w:t>
            </w:r>
            <w:r w:rsidR="00F704B8">
              <w:t>e</w:t>
            </w:r>
            <w:r w:rsidR="00112C2B">
              <w:t>ctronically</w:t>
            </w:r>
            <w:r>
              <w:t xml:space="preserve"> logged by the core Nicotine and Smoking Cessation service.</w:t>
            </w:r>
          </w:p>
          <w:p w:rsidR="00F704B8" w:rsidRDefault="00F704B8"/>
        </w:tc>
      </w:tr>
    </w:tbl>
    <w:p w:rsidR="00733169" w:rsidRDefault="00733169"/>
    <w:sectPr w:rsidR="00733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69"/>
    <w:rsid w:val="00112C2B"/>
    <w:rsid w:val="00144B42"/>
    <w:rsid w:val="002D2802"/>
    <w:rsid w:val="0030356F"/>
    <w:rsid w:val="003D7553"/>
    <w:rsid w:val="00416692"/>
    <w:rsid w:val="004B7C83"/>
    <w:rsid w:val="004D0875"/>
    <w:rsid w:val="00553F22"/>
    <w:rsid w:val="00616A26"/>
    <w:rsid w:val="00733169"/>
    <w:rsid w:val="00824810"/>
    <w:rsid w:val="008647DA"/>
    <w:rsid w:val="00876223"/>
    <w:rsid w:val="008B53CC"/>
    <w:rsid w:val="009027DD"/>
    <w:rsid w:val="00A7088F"/>
    <w:rsid w:val="00AE78E0"/>
    <w:rsid w:val="00B11FB4"/>
    <w:rsid w:val="00DE47B9"/>
    <w:rsid w:val="00E52073"/>
    <w:rsid w:val="00EC5868"/>
    <w:rsid w:val="00EF250B"/>
    <w:rsid w:val="00F704B8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F7965-1D53-413C-B87C-5861A3C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woodworth</dc:creator>
  <cp:keywords/>
  <dc:description/>
  <cp:lastModifiedBy>Elizabeth Woodworth</cp:lastModifiedBy>
  <cp:revision>2</cp:revision>
  <dcterms:created xsi:type="dcterms:W3CDTF">2016-03-12T17:09:00Z</dcterms:created>
  <dcterms:modified xsi:type="dcterms:W3CDTF">2016-03-12T17:09:00Z</dcterms:modified>
</cp:coreProperties>
</file>